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B2" w:rsidRDefault="00086F28" w:rsidP="00C54126">
      <w:pPr>
        <w:numPr>
          <w:ilvl w:val="0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86F28">
        <w:rPr>
          <w:rFonts w:ascii="Arial" w:hAnsi="Arial" w:cs="Arial"/>
          <w:sz w:val="22"/>
          <w:szCs w:val="22"/>
        </w:rPr>
        <w:t>The glo</w:t>
      </w:r>
      <w:smartTag w:uri="urn:schemas-microsoft-com:office:smarttags" w:element="PersonName">
        <w:r w:rsidRPr="00086F28">
          <w:rPr>
            <w:rFonts w:ascii="Arial" w:hAnsi="Arial" w:cs="Arial"/>
            <w:sz w:val="22"/>
            <w:szCs w:val="22"/>
          </w:rPr>
          <w:t>b</w:t>
        </w:r>
      </w:smartTag>
      <w:r w:rsidRPr="00086F28">
        <w:rPr>
          <w:rFonts w:ascii="Arial" w:hAnsi="Arial" w:cs="Arial"/>
          <w:sz w:val="22"/>
          <w:szCs w:val="22"/>
        </w:rPr>
        <w:t xml:space="preserve">al financial crisis has resulted in a rapid deterioration in world growth. The consequence of slowed economic growth in </w:t>
      </w:r>
      <w:smartTag w:uri="urn:schemas-microsoft-com:office:smarttags" w:element="State">
        <w:smartTag w:uri="urn:schemas-microsoft-com:office:smarttags" w:element="place">
          <w:r w:rsidRPr="00086F28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086F28">
        <w:rPr>
          <w:rFonts w:ascii="Arial" w:hAnsi="Arial" w:cs="Arial"/>
          <w:sz w:val="22"/>
          <w:szCs w:val="22"/>
        </w:rPr>
        <w:t xml:space="preserve"> is a predicted rise in unemployment in 2009-10 to well over 6%. </w:t>
      </w:r>
    </w:p>
    <w:p w:rsidR="00086F28" w:rsidRPr="00086F28" w:rsidRDefault="00086F28" w:rsidP="00C54126">
      <w:pPr>
        <w:numPr>
          <w:ilvl w:val="0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086F28">
        <w:rPr>
          <w:rFonts w:ascii="Arial" w:hAnsi="Arial" w:cs="Arial"/>
          <w:sz w:val="22"/>
          <w:szCs w:val="22"/>
        </w:rPr>
        <w:t xml:space="preserve">To </w:t>
      </w:r>
      <w:r w:rsidR="00982D80">
        <w:rPr>
          <w:rFonts w:ascii="Arial" w:hAnsi="Arial" w:cs="Arial"/>
          <w:sz w:val="22"/>
          <w:szCs w:val="22"/>
        </w:rPr>
        <w:t xml:space="preserve">increase job creation efforts targeted at </w:t>
      </w:r>
      <w:r w:rsidR="00F33533">
        <w:rPr>
          <w:rFonts w:ascii="Arial" w:hAnsi="Arial" w:cs="Arial"/>
          <w:sz w:val="22"/>
          <w:szCs w:val="22"/>
        </w:rPr>
        <w:t xml:space="preserve">the </w:t>
      </w:r>
      <w:r w:rsidR="001C741B">
        <w:rPr>
          <w:rFonts w:ascii="Arial" w:hAnsi="Arial" w:cs="Arial"/>
          <w:sz w:val="22"/>
          <w:szCs w:val="22"/>
        </w:rPr>
        <w:t xml:space="preserve">long-term unemployed and </w:t>
      </w:r>
      <w:r w:rsidR="00794478">
        <w:rPr>
          <w:rFonts w:ascii="Arial" w:hAnsi="Arial" w:cs="Arial"/>
          <w:sz w:val="22"/>
          <w:szCs w:val="22"/>
        </w:rPr>
        <w:t>young u</w:t>
      </w:r>
      <w:r w:rsidR="00010DB0">
        <w:rPr>
          <w:rFonts w:ascii="Arial" w:hAnsi="Arial" w:cs="Arial"/>
          <w:sz w:val="22"/>
          <w:szCs w:val="22"/>
        </w:rPr>
        <w:t>n</w:t>
      </w:r>
      <w:r w:rsidR="00794478">
        <w:rPr>
          <w:rFonts w:ascii="Arial" w:hAnsi="Arial" w:cs="Arial"/>
          <w:sz w:val="22"/>
          <w:szCs w:val="22"/>
        </w:rPr>
        <w:t>employed</w:t>
      </w:r>
      <w:r w:rsidR="00F33533">
        <w:rPr>
          <w:rFonts w:ascii="Arial" w:hAnsi="Arial" w:cs="Arial"/>
          <w:sz w:val="22"/>
          <w:szCs w:val="22"/>
        </w:rPr>
        <w:t xml:space="preserve"> </w:t>
      </w:r>
      <w:r w:rsidR="009E0539">
        <w:rPr>
          <w:rFonts w:ascii="Arial" w:hAnsi="Arial" w:cs="Arial"/>
          <w:sz w:val="22"/>
          <w:szCs w:val="22"/>
        </w:rPr>
        <w:t>people</w:t>
      </w:r>
      <w:r w:rsidRPr="00086F28">
        <w:rPr>
          <w:rFonts w:ascii="Arial" w:hAnsi="Arial" w:cs="Arial"/>
          <w:sz w:val="22"/>
          <w:szCs w:val="22"/>
        </w:rPr>
        <w:t xml:space="preserve"> – </w:t>
      </w:r>
      <w:r w:rsidR="0032074E">
        <w:rPr>
          <w:rFonts w:ascii="Arial" w:hAnsi="Arial" w:cs="Arial"/>
          <w:sz w:val="22"/>
          <w:szCs w:val="22"/>
        </w:rPr>
        <w:t xml:space="preserve">as part of its recent </w:t>
      </w:r>
      <w:r w:rsidR="000A46D5">
        <w:rPr>
          <w:rFonts w:ascii="Arial" w:hAnsi="Arial" w:cs="Arial"/>
          <w:sz w:val="22"/>
          <w:szCs w:val="22"/>
        </w:rPr>
        <w:t xml:space="preserve">employment </w:t>
      </w:r>
      <w:r w:rsidR="0032074E">
        <w:rPr>
          <w:rFonts w:ascii="Arial" w:hAnsi="Arial" w:cs="Arial"/>
          <w:sz w:val="22"/>
          <w:szCs w:val="22"/>
        </w:rPr>
        <w:t xml:space="preserve">election commitment </w:t>
      </w:r>
      <w:r w:rsidRPr="00086F28">
        <w:rPr>
          <w:rFonts w:ascii="Arial" w:hAnsi="Arial" w:cs="Arial"/>
          <w:sz w:val="22"/>
          <w:szCs w:val="22"/>
        </w:rPr>
        <w:t xml:space="preserve">the </w:t>
      </w:r>
      <w:r w:rsidR="0032074E">
        <w:rPr>
          <w:rFonts w:ascii="Arial" w:hAnsi="Arial" w:cs="Arial"/>
          <w:sz w:val="22"/>
          <w:szCs w:val="22"/>
        </w:rPr>
        <w:t xml:space="preserve">Government announced the </w:t>
      </w:r>
      <w:r w:rsidRPr="00086F28">
        <w:rPr>
          <w:rFonts w:ascii="Arial" w:hAnsi="Arial" w:cs="Arial"/>
          <w:sz w:val="22"/>
          <w:szCs w:val="22"/>
        </w:rPr>
        <w:t xml:space="preserve">Green Army </w:t>
      </w:r>
      <w:r w:rsidR="0032074E">
        <w:rPr>
          <w:rFonts w:ascii="Arial" w:hAnsi="Arial" w:cs="Arial"/>
          <w:sz w:val="22"/>
          <w:szCs w:val="22"/>
        </w:rPr>
        <w:t>to provide 3,000 jobs at a cost of $57 million.</w:t>
      </w:r>
      <w:r w:rsidRPr="00086F28">
        <w:rPr>
          <w:rFonts w:ascii="Arial" w:hAnsi="Arial" w:cs="Arial"/>
          <w:sz w:val="22"/>
          <w:szCs w:val="22"/>
        </w:rPr>
        <w:t xml:space="preserve"> The implementation of the Green Army will provide additional jo</w:t>
      </w:r>
      <w:smartTag w:uri="urn:schemas-microsoft-com:office:smarttags" w:element="PersonName">
        <w:r w:rsidRPr="00086F28">
          <w:rPr>
            <w:rFonts w:ascii="Arial" w:hAnsi="Arial" w:cs="Arial"/>
            <w:sz w:val="22"/>
            <w:szCs w:val="22"/>
          </w:rPr>
          <w:t>b</w:t>
        </w:r>
      </w:smartTag>
      <w:r w:rsidRPr="00086F28">
        <w:rPr>
          <w:rFonts w:ascii="Arial" w:hAnsi="Arial" w:cs="Arial"/>
          <w:sz w:val="22"/>
          <w:szCs w:val="22"/>
        </w:rPr>
        <w:t xml:space="preserve"> opportunities to prevent youth and other jo</w:t>
      </w:r>
      <w:smartTag w:uri="urn:schemas-microsoft-com:office:smarttags" w:element="PersonName">
        <w:r w:rsidRPr="00086F28">
          <w:rPr>
            <w:rFonts w:ascii="Arial" w:hAnsi="Arial" w:cs="Arial"/>
            <w:sz w:val="22"/>
            <w:szCs w:val="22"/>
          </w:rPr>
          <w:t>b</w:t>
        </w:r>
      </w:smartTag>
      <w:r w:rsidRPr="00086F28">
        <w:rPr>
          <w:rFonts w:ascii="Arial" w:hAnsi="Arial" w:cs="Arial"/>
          <w:sz w:val="22"/>
          <w:szCs w:val="22"/>
        </w:rPr>
        <w:t xml:space="preserve"> seekers from entering or continuing in</w:t>
      </w:r>
      <w:r w:rsidR="005832B2">
        <w:rPr>
          <w:rFonts w:ascii="Arial" w:hAnsi="Arial" w:cs="Arial"/>
          <w:sz w:val="22"/>
          <w:szCs w:val="22"/>
        </w:rPr>
        <w:t>to</w:t>
      </w:r>
      <w:r w:rsidRPr="00086F28">
        <w:rPr>
          <w:rFonts w:ascii="Arial" w:hAnsi="Arial" w:cs="Arial"/>
          <w:sz w:val="22"/>
          <w:szCs w:val="22"/>
        </w:rPr>
        <w:t xml:space="preserve"> long-term unemployment. There are </w:t>
      </w:r>
      <w:r w:rsidR="0032074E">
        <w:rPr>
          <w:rFonts w:ascii="Arial" w:hAnsi="Arial" w:cs="Arial"/>
          <w:sz w:val="22"/>
          <w:szCs w:val="22"/>
        </w:rPr>
        <w:t>two components to the jo</w:t>
      </w:r>
      <w:smartTag w:uri="urn:schemas-microsoft-com:office:smarttags" w:element="PersonName">
        <w:r w:rsidR="0032074E">
          <w:rPr>
            <w:rFonts w:ascii="Arial" w:hAnsi="Arial" w:cs="Arial"/>
            <w:sz w:val="22"/>
            <w:szCs w:val="22"/>
          </w:rPr>
          <w:t>b</w:t>
        </w:r>
      </w:smartTag>
      <w:r w:rsidR="0032074E">
        <w:rPr>
          <w:rFonts w:ascii="Arial" w:hAnsi="Arial" w:cs="Arial"/>
          <w:sz w:val="22"/>
          <w:szCs w:val="22"/>
        </w:rPr>
        <w:t xml:space="preserve"> creation</w:t>
      </w:r>
      <w:r w:rsidRPr="00086F28">
        <w:rPr>
          <w:rFonts w:ascii="Arial" w:hAnsi="Arial" w:cs="Arial"/>
          <w:sz w:val="22"/>
          <w:szCs w:val="22"/>
        </w:rPr>
        <w:t>:</w:t>
      </w:r>
    </w:p>
    <w:p w:rsidR="00086F28" w:rsidRPr="00086F28" w:rsidRDefault="00086F28" w:rsidP="00C54126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86F28">
        <w:rPr>
          <w:rFonts w:ascii="Arial" w:hAnsi="Arial" w:cs="Arial"/>
          <w:sz w:val="22"/>
          <w:szCs w:val="22"/>
        </w:rPr>
        <w:t>2,300 jobs will be created through paid work placements of up to six months on community based projects that conserve and restore the natural environment, green spaces and recreational areas; and</w:t>
      </w:r>
    </w:p>
    <w:p w:rsidR="00086F28" w:rsidRPr="00E95FB4" w:rsidRDefault="00086F28" w:rsidP="00C54126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95FB4">
        <w:rPr>
          <w:rFonts w:ascii="Arial" w:hAnsi="Arial" w:cs="Arial"/>
          <w:sz w:val="22"/>
          <w:szCs w:val="22"/>
        </w:rPr>
        <w:t xml:space="preserve">700 green traineeship positions. </w:t>
      </w:r>
    </w:p>
    <w:p w:rsidR="00DF14FA" w:rsidRPr="00AC28E3" w:rsidRDefault="00261106" w:rsidP="00C54126">
      <w:pPr>
        <w:numPr>
          <w:ilvl w:val="0"/>
          <w:numId w:val="7"/>
        </w:numPr>
        <w:spacing w:before="240"/>
        <w:jc w:val="both"/>
        <w:rPr>
          <w:rFonts w:ascii="Arial" w:hAnsi="Arial" w:cs="Arial"/>
          <w:spacing w:val="-4"/>
          <w:sz w:val="22"/>
          <w:szCs w:val="22"/>
        </w:rPr>
      </w:pPr>
      <w:r w:rsidRPr="00AC28E3">
        <w:rPr>
          <w:rFonts w:ascii="Arial" w:hAnsi="Arial" w:cs="Arial"/>
          <w:spacing w:val="-4"/>
          <w:sz w:val="22"/>
          <w:szCs w:val="22"/>
          <w:u w:val="single"/>
        </w:rPr>
        <w:t xml:space="preserve">Cabinet </w:t>
      </w:r>
      <w:r w:rsidR="008B0165" w:rsidRPr="00AC28E3">
        <w:rPr>
          <w:rFonts w:ascii="Arial" w:hAnsi="Arial" w:cs="Arial"/>
          <w:spacing w:val="-4"/>
          <w:sz w:val="22"/>
          <w:szCs w:val="22"/>
          <w:u w:val="single"/>
        </w:rPr>
        <w:t>endorsed</w:t>
      </w:r>
      <w:r w:rsidR="00B8522F" w:rsidRPr="00AC28E3">
        <w:rPr>
          <w:rFonts w:ascii="Arial" w:hAnsi="Arial" w:cs="Arial"/>
          <w:spacing w:val="-4"/>
          <w:sz w:val="22"/>
          <w:szCs w:val="22"/>
        </w:rPr>
        <w:t xml:space="preserve"> </w:t>
      </w:r>
      <w:r w:rsidR="008B0165" w:rsidRPr="00AC28E3">
        <w:rPr>
          <w:rFonts w:ascii="Arial" w:hAnsi="Arial" w:cs="Arial"/>
          <w:spacing w:val="-4"/>
          <w:sz w:val="22"/>
          <w:szCs w:val="22"/>
        </w:rPr>
        <w:t xml:space="preserve">the process </w:t>
      </w:r>
      <w:r w:rsidR="00F62333" w:rsidRPr="00AC28E3">
        <w:rPr>
          <w:rFonts w:ascii="Arial" w:hAnsi="Arial" w:cs="Arial"/>
          <w:spacing w:val="-4"/>
          <w:sz w:val="22"/>
          <w:szCs w:val="22"/>
        </w:rPr>
        <w:t xml:space="preserve">whereby the Departments of the Premier and Cabinet; Environment and Resource Management; and Employment and Economic Development together with the </w:t>
      </w:r>
      <w:r w:rsidR="00C6704C">
        <w:rPr>
          <w:rFonts w:ascii="Arial" w:hAnsi="Arial" w:cs="Arial"/>
          <w:spacing w:val="-4"/>
          <w:sz w:val="22"/>
          <w:szCs w:val="22"/>
        </w:rPr>
        <w:t>relevant local governments</w:t>
      </w:r>
      <w:r w:rsidR="00F62333" w:rsidRPr="00AC28E3">
        <w:rPr>
          <w:rFonts w:ascii="Arial" w:hAnsi="Arial" w:cs="Arial"/>
          <w:spacing w:val="-4"/>
          <w:sz w:val="22"/>
          <w:szCs w:val="22"/>
        </w:rPr>
        <w:t xml:space="preserve"> will </w:t>
      </w:r>
      <w:r w:rsidR="008B0165" w:rsidRPr="00AC28E3">
        <w:rPr>
          <w:rFonts w:ascii="Arial" w:hAnsi="Arial" w:cs="Arial"/>
          <w:spacing w:val="-4"/>
          <w:sz w:val="22"/>
          <w:szCs w:val="22"/>
        </w:rPr>
        <w:t>identify key works and locations for Green Army projects ensuring that the green investment results in the enhancement of areas where the state requires priority action.</w:t>
      </w:r>
      <w:r w:rsidR="00F62333" w:rsidRPr="00AC28E3">
        <w:rPr>
          <w:rFonts w:ascii="Arial" w:hAnsi="Arial" w:cs="Arial"/>
          <w:spacing w:val="-4"/>
          <w:sz w:val="22"/>
          <w:szCs w:val="22"/>
        </w:rPr>
        <w:t xml:space="preserve"> </w:t>
      </w:r>
    </w:p>
    <w:p w:rsidR="00B8522F" w:rsidRPr="00AC28E3" w:rsidRDefault="00261106" w:rsidP="00C54126">
      <w:pPr>
        <w:numPr>
          <w:ilvl w:val="0"/>
          <w:numId w:val="7"/>
        </w:numPr>
        <w:spacing w:before="240"/>
        <w:jc w:val="both"/>
        <w:rPr>
          <w:rFonts w:ascii="Arial" w:hAnsi="Arial" w:cs="Arial"/>
          <w:spacing w:val="-2"/>
          <w:sz w:val="22"/>
          <w:szCs w:val="22"/>
        </w:rPr>
      </w:pPr>
      <w:r w:rsidRPr="00AC28E3">
        <w:rPr>
          <w:rFonts w:ascii="Arial" w:hAnsi="Arial" w:cs="Arial"/>
          <w:spacing w:val="-2"/>
          <w:sz w:val="22"/>
          <w:szCs w:val="22"/>
          <w:u w:val="single"/>
        </w:rPr>
        <w:t>Cabinet endorsed</w:t>
      </w:r>
      <w:r w:rsidRPr="00AC28E3">
        <w:rPr>
          <w:rFonts w:ascii="Arial" w:hAnsi="Arial" w:cs="Arial"/>
          <w:spacing w:val="-2"/>
          <w:sz w:val="22"/>
          <w:szCs w:val="22"/>
        </w:rPr>
        <w:t xml:space="preserve"> </w:t>
      </w:r>
      <w:r w:rsidR="00B8522F" w:rsidRPr="00AC28E3">
        <w:rPr>
          <w:rFonts w:ascii="Arial" w:hAnsi="Arial" w:cs="Arial"/>
          <w:spacing w:val="-2"/>
          <w:sz w:val="22"/>
          <w:szCs w:val="22"/>
        </w:rPr>
        <w:t xml:space="preserve">the implementation of the Green Army through the existing mechanisms and structures that support the </w:t>
      </w:r>
      <w:r w:rsidR="00B8522F" w:rsidRPr="00AC28E3">
        <w:rPr>
          <w:rFonts w:ascii="Arial" w:hAnsi="Arial" w:cs="Arial"/>
          <w:i/>
          <w:spacing w:val="-2"/>
          <w:sz w:val="22"/>
          <w:szCs w:val="22"/>
        </w:rPr>
        <w:t>Skilling Queenslanders for Work</w:t>
      </w:r>
      <w:r w:rsidR="00B8522F" w:rsidRPr="00AC28E3">
        <w:rPr>
          <w:rFonts w:ascii="Arial" w:hAnsi="Arial" w:cs="Arial"/>
          <w:spacing w:val="-2"/>
          <w:sz w:val="22"/>
          <w:szCs w:val="22"/>
        </w:rPr>
        <w:t xml:space="preserve"> initiative. Green Army work placements and traineeship places </w:t>
      </w:r>
      <w:r w:rsidR="00514C41" w:rsidRPr="00AC28E3">
        <w:rPr>
          <w:rFonts w:ascii="Arial" w:hAnsi="Arial" w:cs="Arial"/>
          <w:spacing w:val="-2"/>
          <w:sz w:val="22"/>
          <w:szCs w:val="22"/>
        </w:rPr>
        <w:t xml:space="preserve">will </w:t>
      </w:r>
      <w:smartTag w:uri="urn:schemas-microsoft-com:office:smarttags" w:element="PersonName">
        <w:r w:rsidR="00514C41" w:rsidRPr="00AC28E3">
          <w:rPr>
            <w:rFonts w:ascii="Arial" w:hAnsi="Arial" w:cs="Arial"/>
            <w:spacing w:val="-2"/>
            <w:sz w:val="22"/>
            <w:szCs w:val="22"/>
          </w:rPr>
          <w:t>b</w:t>
        </w:r>
      </w:smartTag>
      <w:r w:rsidR="00514C41" w:rsidRPr="00AC28E3">
        <w:rPr>
          <w:rFonts w:ascii="Arial" w:hAnsi="Arial" w:cs="Arial"/>
          <w:spacing w:val="-2"/>
          <w:sz w:val="22"/>
          <w:szCs w:val="22"/>
        </w:rPr>
        <w:t xml:space="preserve">e offered from </w:t>
      </w:r>
      <w:r w:rsidR="00B8522F" w:rsidRPr="00AC28E3">
        <w:rPr>
          <w:rFonts w:ascii="Arial" w:hAnsi="Arial" w:cs="Arial"/>
          <w:spacing w:val="-2"/>
          <w:sz w:val="22"/>
          <w:szCs w:val="22"/>
        </w:rPr>
        <w:t>1 July 2009.</w:t>
      </w:r>
    </w:p>
    <w:p w:rsidR="00514C41" w:rsidRDefault="00514C41" w:rsidP="00C54126">
      <w:pPr>
        <w:numPr>
          <w:ilvl w:val="0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that </w:t>
      </w:r>
      <w:r w:rsidR="008B0165">
        <w:rPr>
          <w:rFonts w:ascii="Arial" w:hAnsi="Arial" w:cs="Arial"/>
          <w:sz w:val="22"/>
          <w:szCs w:val="22"/>
        </w:rPr>
        <w:t xml:space="preserve">the Department of Education and Training (DET) will provide </w:t>
      </w:r>
      <w:r>
        <w:rPr>
          <w:rFonts w:ascii="Arial" w:hAnsi="Arial" w:cs="Arial"/>
          <w:sz w:val="22"/>
          <w:szCs w:val="22"/>
        </w:rPr>
        <w:t xml:space="preserve">$27 million over three years from </w:t>
      </w:r>
      <w:r w:rsidR="008B016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009-10 </w:t>
      </w:r>
      <w:r w:rsidR="008B0165">
        <w:rPr>
          <w:rFonts w:ascii="Arial" w:hAnsi="Arial" w:cs="Arial"/>
          <w:sz w:val="22"/>
          <w:szCs w:val="22"/>
        </w:rPr>
        <w:t xml:space="preserve">which will be incorporated into </w:t>
      </w:r>
      <w:r>
        <w:rPr>
          <w:rFonts w:ascii="Arial" w:hAnsi="Arial" w:cs="Arial"/>
          <w:sz w:val="22"/>
          <w:szCs w:val="22"/>
        </w:rPr>
        <w:t>the Memorandum of Understanding between DET and the Department of Employment, Economic Development and Innovation.</w:t>
      </w:r>
    </w:p>
    <w:p w:rsidR="00CD630F" w:rsidRPr="00C54126" w:rsidRDefault="00CD630F" w:rsidP="00C54126">
      <w:pPr>
        <w:numPr>
          <w:ilvl w:val="0"/>
          <w:numId w:val="7"/>
        </w:numPr>
        <w:spacing w:before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5412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CD630F" w:rsidRPr="00C54126" w:rsidRDefault="00CD630F" w:rsidP="00C54126">
      <w:pPr>
        <w:pStyle w:val="ListParagraph"/>
        <w:numPr>
          <w:ilvl w:val="0"/>
          <w:numId w:val="1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54126">
        <w:rPr>
          <w:rFonts w:ascii="Arial" w:hAnsi="Arial" w:cs="Arial"/>
          <w:sz w:val="22"/>
          <w:szCs w:val="22"/>
        </w:rPr>
        <w:t>Nil.</w:t>
      </w:r>
    </w:p>
    <w:sectPr w:rsidR="00CD630F" w:rsidRPr="00C54126" w:rsidSect="007212CE">
      <w:headerReference w:type="default" r:id="rId7"/>
      <w:pgSz w:w="11907" w:h="16840" w:code="9"/>
      <w:pgMar w:top="1134" w:right="851" w:bottom="851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FA1" w:rsidRDefault="00744FA1">
      <w:r>
        <w:separator/>
      </w:r>
    </w:p>
  </w:endnote>
  <w:endnote w:type="continuationSeparator" w:id="0">
    <w:p w:rsidR="00744FA1" w:rsidRDefault="0074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FA1" w:rsidRDefault="00744FA1">
      <w:r>
        <w:separator/>
      </w:r>
    </w:p>
  </w:footnote>
  <w:footnote w:type="continuationSeparator" w:id="0">
    <w:p w:rsidR="00744FA1" w:rsidRDefault="00744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26" w:rsidRDefault="00C54126" w:rsidP="00C54126">
    <w:pPr>
      <w:pStyle w:val="Header"/>
      <w:spacing w:line="180" w:lineRule="exact"/>
      <w:jc w:val="right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8A38D2" wp14:editId="00B2D7C3">
          <wp:simplePos x="0" y="0"/>
          <wp:positionH relativeFrom="column">
            <wp:posOffset>114300</wp:posOffset>
          </wp:positionH>
          <wp:positionV relativeFrom="paragraph">
            <wp:posOffset>-342900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126" w:rsidRPr="000400F9" w:rsidRDefault="00C54126" w:rsidP="00C54126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 w:rsidRPr="000400F9">
      <w:rPr>
        <w:rFonts w:ascii="Arial" w:hAnsi="Arial" w:cs="Arial"/>
        <w:b/>
        <w:sz w:val="22"/>
        <w:szCs w:val="22"/>
        <w:u w:val="single"/>
      </w:rPr>
      <w:t>Cabinet –</w:t>
    </w:r>
    <w:r>
      <w:rPr>
        <w:rFonts w:ascii="Arial" w:hAnsi="Arial" w:cs="Arial"/>
        <w:b/>
        <w:sz w:val="22"/>
        <w:szCs w:val="22"/>
        <w:u w:val="single"/>
      </w:rPr>
      <w:t xml:space="preserve"> April 2009</w:t>
    </w:r>
  </w:p>
  <w:p w:rsidR="00C54126" w:rsidRPr="00C40160" w:rsidRDefault="00C54126" w:rsidP="00C54126">
    <w:pPr>
      <w:keepLines/>
      <w:spacing w:before="120"/>
      <w:jc w:val="both"/>
      <w:outlineLvl w:val="0"/>
      <w:rPr>
        <w:rFonts w:ascii="Arial" w:hAnsi="Arial" w:cs="Arial"/>
        <w:b/>
        <w:sz w:val="22"/>
        <w:szCs w:val="22"/>
        <w:u w:val="single"/>
      </w:rPr>
    </w:pPr>
    <w:r w:rsidRPr="00C40160">
      <w:rPr>
        <w:rFonts w:ascii="Arial" w:hAnsi="Arial" w:cs="Arial"/>
        <w:b/>
        <w:sz w:val="22"/>
        <w:szCs w:val="22"/>
        <w:u w:val="single"/>
      </w:rPr>
      <w:t xml:space="preserve">Queensland Government endorsement of the </w:t>
    </w:r>
    <w:r>
      <w:rPr>
        <w:rFonts w:ascii="Arial" w:hAnsi="Arial" w:cs="Arial"/>
        <w:b/>
        <w:sz w:val="22"/>
        <w:szCs w:val="22"/>
        <w:u w:val="single"/>
      </w:rPr>
      <w:t>Green Army implementation</w:t>
    </w:r>
    <w:r w:rsidRPr="00C40160">
      <w:rPr>
        <w:rFonts w:ascii="Arial" w:hAnsi="Arial" w:cs="Arial"/>
        <w:b/>
        <w:sz w:val="22"/>
        <w:szCs w:val="22"/>
        <w:u w:val="single"/>
      </w:rPr>
      <w:t xml:space="preserve"> </w:t>
    </w:r>
  </w:p>
  <w:p w:rsidR="00C54126" w:rsidRDefault="00C54126" w:rsidP="00C54126">
    <w:pPr>
      <w:spacing w:before="120"/>
      <w:ind w:left="2880" w:hanging="28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Treasurer and </w:t>
    </w:r>
    <w:r w:rsidRPr="00C40160">
      <w:rPr>
        <w:rFonts w:ascii="Arial" w:hAnsi="Arial" w:cs="Arial"/>
        <w:b/>
        <w:sz w:val="22"/>
        <w:szCs w:val="22"/>
        <w:u w:val="single"/>
      </w:rPr>
      <w:t xml:space="preserve">Minister for Employment and </w:t>
    </w:r>
    <w:r>
      <w:rPr>
        <w:rFonts w:ascii="Arial" w:hAnsi="Arial" w:cs="Arial"/>
        <w:b/>
        <w:sz w:val="22"/>
        <w:szCs w:val="22"/>
        <w:u w:val="single"/>
      </w:rPr>
      <w:t>Economic Development</w:t>
    </w:r>
  </w:p>
  <w:p w:rsidR="00C54126" w:rsidRDefault="00C54126" w:rsidP="00C5412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13DB"/>
    <w:multiLevelType w:val="hybridMultilevel"/>
    <w:tmpl w:val="DAB01C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3E8D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46009C"/>
    <w:multiLevelType w:val="hybridMultilevel"/>
    <w:tmpl w:val="3C46DCD8"/>
    <w:lvl w:ilvl="0" w:tplc="E46E00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C9F3EA7"/>
    <w:multiLevelType w:val="multilevel"/>
    <w:tmpl w:val="8AFC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A03BC"/>
    <w:multiLevelType w:val="hybridMultilevel"/>
    <w:tmpl w:val="F4840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F7709"/>
    <w:multiLevelType w:val="hybridMultilevel"/>
    <w:tmpl w:val="BC9AE620"/>
    <w:lvl w:ilvl="0" w:tplc="9216D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50793E"/>
    <w:multiLevelType w:val="hybridMultilevel"/>
    <w:tmpl w:val="046852F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0A05F3"/>
    <w:multiLevelType w:val="hybridMultilevel"/>
    <w:tmpl w:val="BEF2CA3C"/>
    <w:lvl w:ilvl="0" w:tplc="3B26922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15157"/>
    <w:multiLevelType w:val="hybridMultilevel"/>
    <w:tmpl w:val="90AA5AE8"/>
    <w:lvl w:ilvl="0" w:tplc="73785A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775130"/>
    <w:multiLevelType w:val="multilevel"/>
    <w:tmpl w:val="1E32B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E27FE3"/>
    <w:multiLevelType w:val="hybridMultilevel"/>
    <w:tmpl w:val="BCB4FC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B358CF"/>
    <w:multiLevelType w:val="hybridMultilevel"/>
    <w:tmpl w:val="6B589F72"/>
    <w:lvl w:ilvl="0" w:tplc="51464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8F4A8E8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B52B1A"/>
    <w:multiLevelType w:val="hybridMultilevel"/>
    <w:tmpl w:val="8AFC6F7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8F4A8E8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051D0F"/>
    <w:multiLevelType w:val="multilevel"/>
    <w:tmpl w:val="1E32B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D2933BC"/>
    <w:multiLevelType w:val="hybridMultilevel"/>
    <w:tmpl w:val="5B009688"/>
    <w:lvl w:ilvl="0" w:tplc="9216D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18F4A8E8"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501675"/>
    <w:multiLevelType w:val="hybridMultilevel"/>
    <w:tmpl w:val="6BDC529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047D6F"/>
    <w:multiLevelType w:val="hybridMultilevel"/>
    <w:tmpl w:val="B092695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1"/>
  </w:num>
  <w:num w:numId="5">
    <w:abstractNumId w:val="6"/>
  </w:num>
  <w:num w:numId="6">
    <w:abstractNumId w:val="15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10"/>
  </w:num>
  <w:num w:numId="12">
    <w:abstractNumId w:val="12"/>
  </w:num>
  <w:num w:numId="13">
    <w:abstractNumId w:val="0"/>
  </w:num>
  <w:num w:numId="14">
    <w:abstractNumId w:val="1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F2"/>
    <w:rsid w:val="00010DB0"/>
    <w:rsid w:val="00031A1D"/>
    <w:rsid w:val="00044686"/>
    <w:rsid w:val="00086F28"/>
    <w:rsid w:val="000A46D5"/>
    <w:rsid w:val="001526F4"/>
    <w:rsid w:val="001C741B"/>
    <w:rsid w:val="00207185"/>
    <w:rsid w:val="002219F2"/>
    <w:rsid w:val="00246D33"/>
    <w:rsid w:val="00261106"/>
    <w:rsid w:val="002B4BF0"/>
    <w:rsid w:val="002B772F"/>
    <w:rsid w:val="0032074E"/>
    <w:rsid w:val="003A6D8D"/>
    <w:rsid w:val="003C57DB"/>
    <w:rsid w:val="003D5A8E"/>
    <w:rsid w:val="004344E8"/>
    <w:rsid w:val="004C206C"/>
    <w:rsid w:val="004C20D0"/>
    <w:rsid w:val="004D766A"/>
    <w:rsid w:val="004F2E54"/>
    <w:rsid w:val="00514C41"/>
    <w:rsid w:val="00563257"/>
    <w:rsid w:val="005832B2"/>
    <w:rsid w:val="005B1673"/>
    <w:rsid w:val="00621BE2"/>
    <w:rsid w:val="00622183"/>
    <w:rsid w:val="00641DE8"/>
    <w:rsid w:val="006737D3"/>
    <w:rsid w:val="006C18E1"/>
    <w:rsid w:val="006D4FE9"/>
    <w:rsid w:val="007212CE"/>
    <w:rsid w:val="00741DBF"/>
    <w:rsid w:val="00744FA1"/>
    <w:rsid w:val="007779C1"/>
    <w:rsid w:val="00794478"/>
    <w:rsid w:val="007B5176"/>
    <w:rsid w:val="00856F82"/>
    <w:rsid w:val="008B0165"/>
    <w:rsid w:val="008E03B5"/>
    <w:rsid w:val="00944C0B"/>
    <w:rsid w:val="00982D80"/>
    <w:rsid w:val="009B5573"/>
    <w:rsid w:val="009B7C11"/>
    <w:rsid w:val="009E0539"/>
    <w:rsid w:val="00A253EE"/>
    <w:rsid w:val="00A372AD"/>
    <w:rsid w:val="00AC0DD3"/>
    <w:rsid w:val="00AC28E3"/>
    <w:rsid w:val="00B37D47"/>
    <w:rsid w:val="00B721CA"/>
    <w:rsid w:val="00B8522F"/>
    <w:rsid w:val="00BC7578"/>
    <w:rsid w:val="00C54126"/>
    <w:rsid w:val="00C6704C"/>
    <w:rsid w:val="00CD630F"/>
    <w:rsid w:val="00D74FF2"/>
    <w:rsid w:val="00D8124C"/>
    <w:rsid w:val="00DA2EDE"/>
    <w:rsid w:val="00DF14FA"/>
    <w:rsid w:val="00E95269"/>
    <w:rsid w:val="00E95FB4"/>
    <w:rsid w:val="00F32141"/>
    <w:rsid w:val="00F33533"/>
    <w:rsid w:val="00F6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9F2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2219F2"/>
    <w:rPr>
      <w:rFonts w:ascii="Arial" w:hAnsi="Arial" w:cs="Arial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rsid w:val="002219F2"/>
    <w:rPr>
      <w:color w:val="0000FF"/>
      <w:u w:val="single"/>
    </w:rPr>
  </w:style>
  <w:style w:type="paragraph" w:styleId="FootnoteText">
    <w:name w:val="footnote text"/>
    <w:aliases w:val=" Char Char"/>
    <w:basedOn w:val="Normal"/>
    <w:semiHidden/>
    <w:rsid w:val="002219F2"/>
    <w:pPr>
      <w:jc w:val="both"/>
    </w:pPr>
    <w:rPr>
      <w:rFonts w:ascii="Calibri" w:eastAsia="SimSun" w:hAnsi="Calibri"/>
      <w:color w:val="auto"/>
      <w:sz w:val="20"/>
      <w:lang w:eastAsia="zh-CN"/>
    </w:rPr>
  </w:style>
  <w:style w:type="character" w:styleId="FootnoteReference">
    <w:name w:val="footnote reference"/>
    <w:basedOn w:val="DefaultParagraphFont"/>
    <w:semiHidden/>
    <w:rsid w:val="002219F2"/>
    <w:rPr>
      <w:vertAlign w:val="superscript"/>
    </w:rPr>
  </w:style>
  <w:style w:type="paragraph" w:styleId="Header">
    <w:name w:val="header"/>
    <w:basedOn w:val="Normal"/>
    <w:rsid w:val="00086F28"/>
    <w:pPr>
      <w:tabs>
        <w:tab w:val="center" w:pos="4153"/>
        <w:tab w:val="right" w:pos="8306"/>
      </w:tabs>
    </w:pPr>
    <w:rPr>
      <w:color w:val="auto"/>
    </w:rPr>
  </w:style>
  <w:style w:type="paragraph" w:styleId="BalloonText">
    <w:name w:val="Balloon Text"/>
    <w:basedOn w:val="Normal"/>
    <w:semiHidden/>
    <w:rsid w:val="00AC28E3"/>
    <w:rPr>
      <w:rFonts w:ascii="MS Shell Dlg" w:hAnsi="MS Shell Dlg" w:cs="MS Shell Dlg"/>
      <w:sz w:val="16"/>
      <w:szCs w:val="16"/>
    </w:rPr>
  </w:style>
  <w:style w:type="paragraph" w:styleId="Footer">
    <w:name w:val="footer"/>
    <w:basedOn w:val="Normal"/>
    <w:link w:val="FooterChar"/>
    <w:rsid w:val="00C541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54126"/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5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1547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1821</CharactersWithSpaces>
  <SharedDoc>false</SharedDoc>
  <HyperlinkBase>https://www.cabinet.qld.gov.au/documents/2009/Apr/Green Army/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Employment,Environmental_Protection</cp:keywords>
  <dc:description/>
  <cp:lastModifiedBy/>
  <cp:revision>2</cp:revision>
  <cp:lastPrinted>2009-05-08T00:30:00Z</cp:lastPrinted>
  <dcterms:created xsi:type="dcterms:W3CDTF">2017-10-24T21:57:00Z</dcterms:created>
  <dcterms:modified xsi:type="dcterms:W3CDTF">2018-03-06T00:54:00Z</dcterms:modified>
  <cp:category>Employment,Environmental_Protection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